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Hi [First Name],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Modernization, digitization, and mobile apps are all important in helping your warehouse manage inventory and transactions more efficiently. But they can all fail at the user level if your apps and mobile workflows aren't maximally optimized for your workers and your workflows.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You need to focus on the mobile experiences of your front-line warehouse workers.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To learn some of the best strategies to help you focus on the end user experience as you build or upgrade your SAP mobile apps and warehouse workflows, check out this recent </w:t>
      </w:r>
      <w:hyperlink r:id="rId6">
        <w:r w:rsidDel="00000000" w:rsidR="00000000" w:rsidRPr="00000000">
          <w:rPr>
            <w:color w:val="1155cc"/>
            <w:u w:val="single"/>
            <w:rtl w:val="0"/>
          </w:rPr>
          <w:t xml:space="preserve">guest blog</w:t>
        </w:r>
      </w:hyperlink>
      <w:r w:rsidDel="00000000" w:rsidR="00000000" w:rsidRPr="00000000">
        <w:rPr>
          <w:rtl w:val="0"/>
        </w:rPr>
        <w:t xml:space="preserve"> on the Zebra Technologies website.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In this quick article, we lay out the </w:t>
      </w:r>
      <w:hyperlink r:id="rId7">
        <w:r w:rsidDel="00000000" w:rsidR="00000000" w:rsidRPr="00000000">
          <w:rPr>
            <w:color w:val="1155cc"/>
            <w:u w:val="single"/>
            <w:rtl w:val="0"/>
          </w:rPr>
          <w:t xml:space="preserve">seven things you should do</w:t>
        </w:r>
      </w:hyperlink>
      <w:r w:rsidDel="00000000" w:rsidR="00000000" w:rsidRPr="00000000">
        <w:rPr>
          <w:rtl w:val="0"/>
        </w:rPr>
        <w:t xml:space="preserve"> to put mobile experiences first and get the best results when you're modernizing your SAP warehouse and mobile apps.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You can also access more SAP modernization articles and resources on </w:t>
      </w:r>
      <w:hyperlink r:id="rId8">
        <w:r w:rsidDel="00000000" w:rsidR="00000000" w:rsidRPr="00000000">
          <w:rPr>
            <w:color w:val="1155cc"/>
            <w:u w:val="single"/>
            <w:rtl w:val="0"/>
          </w:rPr>
          <w:t xml:space="preserve">this website</w:t>
        </w:r>
      </w:hyperlink>
      <w:r w:rsidDel="00000000" w:rsidR="00000000" w:rsidRPr="00000000">
        <w:rPr>
          <w:rtl w:val="0"/>
        </w:rPr>
        <w:t xml:space="preserve">. There find more tips to help you with SAP mobile app development, workflow optimization, and to learn key lessons from successful mobile upgrades and implementations at other warehouses.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In the meantime, if you have questions or would like to get started sooner, feel free to call me or simply reply to this email. Our SAP experts are always happy to share best practices and support the SAP community.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[EMAIL SIGNATURE]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zebra.com/us/en/blog/posts/2024/sap-mobile-advisor-why-you-must-put-workers-mobile-experiences-first-when-modernizing-warehouse.html" TargetMode="External"/><Relationship Id="rId7" Type="http://schemas.openxmlformats.org/officeDocument/2006/relationships/hyperlink" Target="https://www.zebra.com/us/en/blog/posts/2024/sap-mobile-advisor-why-you-must-put-workers-mobile-experiences-first-when-modernizing-warehouse.html" TargetMode="External"/><Relationship Id="rId8" Type="http://schemas.openxmlformats.org/officeDocument/2006/relationships/hyperlink" Target="https://www.havensightconsulting.com/sapmob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